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5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1640"/>
        <w:gridCol w:w="1640"/>
        <w:gridCol w:w="1666"/>
        <w:gridCol w:w="1480"/>
        <w:gridCol w:w="1942"/>
      </w:tblGrid>
      <w:tr w:rsidR="007F3DC8" w:rsidRPr="007478EC" w14:paraId="1019917F" w14:textId="77777777" w:rsidTr="007F3DC8">
        <w:trPr>
          <w:jc w:val="center"/>
        </w:trPr>
        <w:tc>
          <w:tcPr>
            <w:tcW w:w="1127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0C6CC8" w14:textId="77777777" w:rsidR="007F3DC8" w:rsidRPr="007F3DC8" w:rsidRDefault="007F3DC8" w:rsidP="007F3DC8">
            <w:pPr>
              <w:jc w:val="both"/>
              <w:rPr>
                <w:rFonts w:eastAsiaTheme="minorHAnsi"/>
                <w:b/>
              </w:rPr>
            </w:pPr>
          </w:p>
        </w:tc>
        <w:tc>
          <w:tcPr>
            <w:tcW w:w="759" w:type="pct"/>
          </w:tcPr>
          <w:p w14:paraId="30B5EEA7" w14:textId="77777777" w:rsidR="007F3DC8" w:rsidRPr="0054415B" w:rsidRDefault="007F3DC8" w:rsidP="007478EC">
            <w:pPr>
              <w:jc w:val="both"/>
              <w:rPr>
                <w:rFonts w:eastAsiaTheme="minorHAnsi"/>
              </w:rPr>
            </w:pPr>
          </w:p>
        </w:tc>
        <w:tc>
          <w:tcPr>
            <w:tcW w:w="759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146C6" w14:textId="77777777" w:rsidR="007F3DC8" w:rsidRPr="0054415B" w:rsidRDefault="007F3DC8" w:rsidP="007478EC">
            <w:pPr>
              <w:jc w:val="both"/>
              <w:rPr>
                <w:rFonts w:eastAsiaTheme="minorHAnsi"/>
              </w:rPr>
            </w:pPr>
          </w:p>
        </w:tc>
        <w:tc>
          <w:tcPr>
            <w:tcW w:w="771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4E60F" w14:textId="77777777" w:rsidR="007F3DC8" w:rsidRPr="0054415B" w:rsidRDefault="007F3DC8" w:rsidP="007478EC">
            <w:pPr>
              <w:jc w:val="both"/>
              <w:rPr>
                <w:rFonts w:eastAsiaTheme="minorHAnsi"/>
              </w:rPr>
            </w:pPr>
          </w:p>
        </w:tc>
        <w:tc>
          <w:tcPr>
            <w:tcW w:w="685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0A95E7" w14:textId="77777777" w:rsidR="007F3DC8" w:rsidRPr="0054415B" w:rsidRDefault="007F3DC8" w:rsidP="007478EC">
            <w:pPr>
              <w:jc w:val="both"/>
              <w:rPr>
                <w:rFonts w:eastAsiaTheme="minorHAnsi"/>
              </w:rPr>
            </w:pPr>
          </w:p>
        </w:tc>
        <w:tc>
          <w:tcPr>
            <w:tcW w:w="899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25B190" w14:textId="77777777" w:rsidR="007F3DC8" w:rsidRPr="0054415B" w:rsidRDefault="007F3DC8" w:rsidP="007478EC">
            <w:pPr>
              <w:jc w:val="both"/>
              <w:rPr>
                <w:rFonts w:eastAsiaTheme="minorHAnsi"/>
              </w:rPr>
            </w:pPr>
          </w:p>
        </w:tc>
      </w:tr>
    </w:tbl>
    <w:p w14:paraId="3FEF60BF" w14:textId="77777777" w:rsidR="00313CDC" w:rsidRDefault="00313CDC" w:rsidP="00703239">
      <w:pPr>
        <w:tabs>
          <w:tab w:val="left" w:pos="426"/>
        </w:tabs>
        <w:autoSpaceDE w:val="0"/>
        <w:autoSpaceDN w:val="0"/>
        <w:adjustRightInd w:val="0"/>
        <w:rPr>
          <w:b/>
        </w:rPr>
      </w:pPr>
    </w:p>
    <w:p w14:paraId="2C4B2AA0" w14:textId="77777777" w:rsidR="007F3DC8" w:rsidRPr="00280598" w:rsidRDefault="007F3DC8" w:rsidP="00703239">
      <w:pPr>
        <w:tabs>
          <w:tab w:val="left" w:pos="426"/>
        </w:tabs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280598">
        <w:rPr>
          <w:b/>
          <w:sz w:val="28"/>
          <w:szCs w:val="28"/>
          <w:u w:val="single"/>
        </w:rPr>
        <w:t>TÜRKİYE – LÜKSEMBURG İKİLİ EKONOMİK İLİŞKİLERİ</w:t>
      </w:r>
    </w:p>
    <w:p w14:paraId="5AAF0960" w14:textId="77777777" w:rsidR="007F3DC8" w:rsidRPr="007F3DC8" w:rsidRDefault="007F3DC8" w:rsidP="007F3DC8">
      <w:pPr>
        <w:tabs>
          <w:tab w:val="left" w:pos="426"/>
        </w:tabs>
        <w:autoSpaceDE w:val="0"/>
        <w:autoSpaceDN w:val="0"/>
        <w:adjustRightInd w:val="0"/>
        <w:jc w:val="both"/>
      </w:pPr>
    </w:p>
    <w:p w14:paraId="6E3F02FB" w14:textId="77777777" w:rsidR="00A40944" w:rsidRDefault="00A40944" w:rsidP="007F3DC8">
      <w:pPr>
        <w:shd w:val="clear" w:color="auto" w:fill="FFFFFF"/>
        <w:spacing w:after="150"/>
        <w:rPr>
          <w:b/>
          <w:bCs/>
          <w:color w:val="262B2C"/>
          <w:lang w:eastAsia="tr-TR"/>
        </w:rPr>
      </w:pPr>
    </w:p>
    <w:p w14:paraId="08078C22" w14:textId="4B11E226" w:rsidR="007F3DC8" w:rsidRDefault="007F3DC8" w:rsidP="007F3DC8">
      <w:pPr>
        <w:shd w:val="clear" w:color="auto" w:fill="FFFFFF"/>
        <w:spacing w:after="150"/>
        <w:rPr>
          <w:b/>
          <w:bCs/>
          <w:color w:val="262B2C"/>
          <w:u w:val="single"/>
          <w:lang w:eastAsia="tr-TR"/>
        </w:rPr>
      </w:pPr>
      <w:r w:rsidRPr="00703239">
        <w:rPr>
          <w:b/>
          <w:bCs/>
          <w:color w:val="262B2C"/>
          <w:u w:val="single"/>
          <w:lang w:eastAsia="tr-TR"/>
        </w:rPr>
        <w:t xml:space="preserve">Lüksemburg </w:t>
      </w:r>
      <w:proofErr w:type="gramStart"/>
      <w:r w:rsidRPr="00703239">
        <w:rPr>
          <w:b/>
          <w:bCs/>
          <w:color w:val="262B2C"/>
          <w:u w:val="single"/>
          <w:lang w:eastAsia="tr-TR"/>
        </w:rPr>
        <w:t xml:space="preserve">Ekonomisi </w:t>
      </w:r>
      <w:r w:rsidR="009133F5" w:rsidRPr="00703239">
        <w:rPr>
          <w:b/>
          <w:bCs/>
          <w:color w:val="262B2C"/>
          <w:u w:val="single"/>
          <w:lang w:eastAsia="tr-TR"/>
        </w:rPr>
        <w:t>:</w:t>
      </w:r>
      <w:proofErr w:type="gramEnd"/>
    </w:p>
    <w:p w14:paraId="081D9ED4" w14:textId="77777777" w:rsidR="00703239" w:rsidRPr="00703239" w:rsidRDefault="00703239" w:rsidP="007F3DC8">
      <w:pPr>
        <w:shd w:val="clear" w:color="auto" w:fill="FFFFFF"/>
        <w:spacing w:after="150"/>
        <w:rPr>
          <w:b/>
          <w:bCs/>
          <w:color w:val="262B2C"/>
          <w:u w:val="single"/>
          <w:lang w:eastAsia="tr-TR"/>
        </w:rPr>
      </w:pPr>
    </w:p>
    <w:p w14:paraId="2497A92E" w14:textId="36C21383" w:rsidR="007F3DC8" w:rsidRPr="00703239" w:rsidRDefault="007F3DC8" w:rsidP="007F3DC8">
      <w:pPr>
        <w:shd w:val="clear" w:color="auto" w:fill="FFFFFF"/>
        <w:spacing w:after="150"/>
        <w:rPr>
          <w:color w:val="262B2C"/>
          <w:lang w:eastAsia="tr-TR"/>
        </w:rPr>
      </w:pPr>
      <w:r w:rsidRPr="00703239">
        <w:rPr>
          <w:color w:val="262B2C"/>
          <w:lang w:eastAsia="tr-TR"/>
        </w:rPr>
        <w:t>GSYİH </w:t>
      </w:r>
      <w:r w:rsidR="002F4784" w:rsidRPr="00703239">
        <w:rPr>
          <w:color w:val="262B2C"/>
          <w:lang w:eastAsia="tr-TR"/>
        </w:rPr>
        <w:tab/>
      </w:r>
      <w:r w:rsidR="002F4784" w:rsidRPr="00703239">
        <w:rPr>
          <w:color w:val="262B2C"/>
          <w:lang w:eastAsia="tr-TR"/>
        </w:rPr>
        <w:tab/>
      </w:r>
      <w:r w:rsidR="002F4784" w:rsidRPr="00703239">
        <w:rPr>
          <w:color w:val="262B2C"/>
          <w:lang w:eastAsia="tr-TR"/>
        </w:rPr>
        <w:tab/>
      </w:r>
      <w:r w:rsidRPr="00703239">
        <w:rPr>
          <w:color w:val="262B2C"/>
          <w:lang w:eastAsia="tr-TR"/>
        </w:rPr>
        <w:t>: 64,221 milyar Avro (2020)</w:t>
      </w:r>
    </w:p>
    <w:p w14:paraId="6941FF5B" w14:textId="45588BF5" w:rsidR="007F3DC8" w:rsidRPr="00703239" w:rsidRDefault="007F3DC8" w:rsidP="007F3DC8">
      <w:pPr>
        <w:shd w:val="clear" w:color="auto" w:fill="FFFFFF"/>
        <w:spacing w:after="150"/>
        <w:rPr>
          <w:color w:val="262B2C"/>
          <w:lang w:eastAsia="tr-TR"/>
        </w:rPr>
      </w:pPr>
      <w:r w:rsidRPr="00703239">
        <w:rPr>
          <w:color w:val="262B2C"/>
          <w:lang w:eastAsia="tr-TR"/>
        </w:rPr>
        <w:t xml:space="preserve">GSYİH </w:t>
      </w:r>
      <w:r w:rsidR="009133F5" w:rsidRPr="00703239">
        <w:rPr>
          <w:color w:val="262B2C"/>
          <w:lang w:eastAsia="tr-TR"/>
        </w:rPr>
        <w:t>b</w:t>
      </w:r>
      <w:r w:rsidRPr="00703239">
        <w:rPr>
          <w:color w:val="262B2C"/>
          <w:lang w:eastAsia="tr-TR"/>
        </w:rPr>
        <w:t xml:space="preserve">üyüme </w:t>
      </w:r>
      <w:r w:rsidR="009133F5" w:rsidRPr="00703239">
        <w:rPr>
          <w:color w:val="262B2C"/>
          <w:lang w:eastAsia="tr-TR"/>
        </w:rPr>
        <w:t>o</w:t>
      </w:r>
      <w:r w:rsidRPr="00703239">
        <w:rPr>
          <w:color w:val="262B2C"/>
          <w:lang w:eastAsia="tr-TR"/>
        </w:rPr>
        <w:t>ranı </w:t>
      </w:r>
      <w:r w:rsidR="002F4784" w:rsidRPr="00703239">
        <w:rPr>
          <w:color w:val="262B2C"/>
          <w:lang w:eastAsia="tr-TR"/>
        </w:rPr>
        <w:tab/>
      </w:r>
      <w:r w:rsidRPr="00703239">
        <w:rPr>
          <w:color w:val="262B2C"/>
          <w:lang w:eastAsia="tr-TR"/>
        </w:rPr>
        <w:t>: %</w:t>
      </w:r>
      <w:r w:rsidR="0042695D" w:rsidRPr="00703239">
        <w:rPr>
          <w:color w:val="262B2C"/>
          <w:lang w:eastAsia="tr-TR"/>
        </w:rPr>
        <w:t xml:space="preserve"> </w:t>
      </w:r>
      <w:r w:rsidRPr="00703239">
        <w:rPr>
          <w:color w:val="262B2C"/>
          <w:lang w:eastAsia="tr-TR"/>
        </w:rPr>
        <w:t>6,5 (2021)</w:t>
      </w:r>
    </w:p>
    <w:p w14:paraId="23EE485C" w14:textId="40DFE618" w:rsidR="007F3DC8" w:rsidRPr="00703239" w:rsidRDefault="007F3DC8" w:rsidP="007F3DC8">
      <w:pPr>
        <w:shd w:val="clear" w:color="auto" w:fill="FFFFFF"/>
        <w:spacing w:after="150"/>
        <w:rPr>
          <w:color w:val="262B2C"/>
          <w:lang w:eastAsia="tr-TR"/>
        </w:rPr>
      </w:pPr>
      <w:r w:rsidRPr="00703239">
        <w:rPr>
          <w:color w:val="262B2C"/>
          <w:lang w:eastAsia="tr-TR"/>
        </w:rPr>
        <w:t xml:space="preserve">Kişi </w:t>
      </w:r>
      <w:r w:rsidR="009133F5" w:rsidRPr="00703239">
        <w:rPr>
          <w:color w:val="262B2C"/>
          <w:lang w:eastAsia="tr-TR"/>
        </w:rPr>
        <w:t>b</w:t>
      </w:r>
      <w:r w:rsidRPr="00703239">
        <w:rPr>
          <w:color w:val="262B2C"/>
          <w:lang w:eastAsia="tr-TR"/>
        </w:rPr>
        <w:t>aşı GSYİH (PPP) </w:t>
      </w:r>
      <w:r w:rsidR="002F4784" w:rsidRPr="00703239">
        <w:rPr>
          <w:color w:val="262B2C"/>
          <w:lang w:eastAsia="tr-TR"/>
        </w:rPr>
        <w:tab/>
      </w:r>
      <w:r w:rsidRPr="00703239">
        <w:rPr>
          <w:color w:val="262B2C"/>
          <w:lang w:eastAsia="tr-TR"/>
        </w:rPr>
        <w:t>: 102.000 Avro (2020)</w:t>
      </w:r>
    </w:p>
    <w:p w14:paraId="075AC665" w14:textId="13C9F213" w:rsidR="007F3DC8" w:rsidRPr="00703239" w:rsidRDefault="007F3DC8" w:rsidP="007F3DC8">
      <w:pPr>
        <w:shd w:val="clear" w:color="auto" w:fill="FFFFFF"/>
        <w:spacing w:after="150"/>
        <w:rPr>
          <w:color w:val="262B2C"/>
          <w:lang w:eastAsia="tr-TR"/>
        </w:rPr>
      </w:pPr>
      <w:r w:rsidRPr="00703239">
        <w:rPr>
          <w:color w:val="262B2C"/>
          <w:lang w:eastAsia="tr-TR"/>
        </w:rPr>
        <w:t xml:space="preserve">Enflasyon </w:t>
      </w:r>
      <w:r w:rsidR="009133F5" w:rsidRPr="00703239">
        <w:rPr>
          <w:color w:val="262B2C"/>
          <w:lang w:eastAsia="tr-TR"/>
        </w:rPr>
        <w:t>o</w:t>
      </w:r>
      <w:r w:rsidRPr="00703239">
        <w:rPr>
          <w:color w:val="262B2C"/>
          <w:lang w:eastAsia="tr-TR"/>
        </w:rPr>
        <w:t>ranı </w:t>
      </w:r>
      <w:r w:rsidR="009133F5" w:rsidRPr="00703239">
        <w:rPr>
          <w:color w:val="262B2C"/>
          <w:lang w:eastAsia="tr-TR"/>
        </w:rPr>
        <w:tab/>
      </w:r>
      <w:r w:rsidR="009133F5" w:rsidRPr="00703239">
        <w:rPr>
          <w:color w:val="262B2C"/>
          <w:lang w:eastAsia="tr-TR"/>
        </w:rPr>
        <w:tab/>
      </w:r>
      <w:r w:rsidRPr="00703239">
        <w:rPr>
          <w:color w:val="262B2C"/>
          <w:lang w:eastAsia="tr-TR"/>
        </w:rPr>
        <w:t>: %</w:t>
      </w:r>
      <w:r w:rsidR="0042695D" w:rsidRPr="00703239">
        <w:rPr>
          <w:color w:val="262B2C"/>
          <w:lang w:eastAsia="tr-TR"/>
        </w:rPr>
        <w:t xml:space="preserve"> </w:t>
      </w:r>
      <w:r w:rsidRPr="00703239">
        <w:rPr>
          <w:color w:val="262B2C"/>
          <w:lang w:eastAsia="tr-TR"/>
        </w:rPr>
        <w:t>4,1 (2021)</w:t>
      </w:r>
    </w:p>
    <w:p w14:paraId="4079C36B" w14:textId="62317FA8" w:rsidR="007F3DC8" w:rsidRPr="00703239" w:rsidRDefault="007F3DC8" w:rsidP="007F3DC8">
      <w:pPr>
        <w:shd w:val="clear" w:color="auto" w:fill="FFFFFF"/>
        <w:spacing w:after="150"/>
        <w:rPr>
          <w:color w:val="262B2C"/>
          <w:lang w:eastAsia="tr-TR"/>
        </w:rPr>
      </w:pPr>
      <w:r w:rsidRPr="00703239">
        <w:rPr>
          <w:color w:val="262B2C"/>
          <w:lang w:eastAsia="tr-TR"/>
        </w:rPr>
        <w:t xml:space="preserve">İşsizlik </w:t>
      </w:r>
      <w:r w:rsidR="009133F5" w:rsidRPr="00703239">
        <w:rPr>
          <w:color w:val="262B2C"/>
          <w:lang w:eastAsia="tr-TR"/>
        </w:rPr>
        <w:t>o</w:t>
      </w:r>
      <w:r w:rsidRPr="00703239">
        <w:rPr>
          <w:color w:val="262B2C"/>
          <w:lang w:eastAsia="tr-TR"/>
        </w:rPr>
        <w:t>ranı </w:t>
      </w:r>
      <w:r w:rsidR="009133F5" w:rsidRPr="00703239">
        <w:rPr>
          <w:color w:val="262B2C"/>
          <w:lang w:eastAsia="tr-TR"/>
        </w:rPr>
        <w:tab/>
      </w:r>
      <w:r w:rsidR="009133F5" w:rsidRPr="00703239">
        <w:rPr>
          <w:color w:val="262B2C"/>
          <w:lang w:eastAsia="tr-TR"/>
        </w:rPr>
        <w:tab/>
      </w:r>
      <w:r w:rsidR="009133F5" w:rsidRPr="00703239">
        <w:rPr>
          <w:color w:val="262B2C"/>
          <w:lang w:eastAsia="tr-TR"/>
        </w:rPr>
        <w:tab/>
      </w:r>
      <w:r w:rsidRPr="00703239">
        <w:rPr>
          <w:color w:val="262B2C"/>
          <w:lang w:eastAsia="tr-TR"/>
        </w:rPr>
        <w:t>: % 5,2 (2021)</w:t>
      </w:r>
    </w:p>
    <w:p w14:paraId="1A4AB897" w14:textId="704EC94E" w:rsidR="007F3DC8" w:rsidRPr="00703239" w:rsidRDefault="007F3DC8" w:rsidP="007F3DC8">
      <w:pPr>
        <w:shd w:val="clear" w:color="auto" w:fill="FFFFFF"/>
        <w:spacing w:after="150"/>
        <w:rPr>
          <w:color w:val="262B2C"/>
          <w:lang w:eastAsia="tr-TR"/>
        </w:rPr>
      </w:pPr>
      <w:r w:rsidRPr="00703239">
        <w:rPr>
          <w:color w:val="262B2C"/>
          <w:lang w:eastAsia="tr-TR"/>
        </w:rPr>
        <w:t xml:space="preserve">Toplam </w:t>
      </w:r>
      <w:r w:rsidR="009133F5" w:rsidRPr="00703239">
        <w:rPr>
          <w:color w:val="262B2C"/>
          <w:lang w:eastAsia="tr-TR"/>
        </w:rPr>
        <w:t>i</w:t>
      </w:r>
      <w:r w:rsidRPr="00703239">
        <w:rPr>
          <w:color w:val="262B2C"/>
          <w:lang w:eastAsia="tr-TR"/>
        </w:rPr>
        <w:t>hracat </w:t>
      </w:r>
      <w:r w:rsidR="009133F5" w:rsidRPr="00703239">
        <w:rPr>
          <w:color w:val="262B2C"/>
          <w:lang w:eastAsia="tr-TR"/>
        </w:rPr>
        <w:tab/>
      </w:r>
      <w:r w:rsidR="009133F5" w:rsidRPr="00703239">
        <w:rPr>
          <w:color w:val="262B2C"/>
          <w:lang w:eastAsia="tr-TR"/>
        </w:rPr>
        <w:tab/>
      </w:r>
      <w:r w:rsidRPr="00703239">
        <w:rPr>
          <w:color w:val="262B2C"/>
          <w:lang w:eastAsia="tr-TR"/>
        </w:rPr>
        <w:t>: 10,550 milyar Avro (2020)</w:t>
      </w:r>
    </w:p>
    <w:p w14:paraId="3F982EBB" w14:textId="6C85C05C" w:rsidR="007F3DC8" w:rsidRDefault="007F3DC8" w:rsidP="007F3DC8">
      <w:pPr>
        <w:rPr>
          <w:color w:val="262B2C"/>
          <w:lang w:eastAsia="tr-TR"/>
        </w:rPr>
      </w:pPr>
      <w:r w:rsidRPr="00703239">
        <w:rPr>
          <w:color w:val="262B2C"/>
          <w:lang w:eastAsia="tr-TR"/>
        </w:rPr>
        <w:t xml:space="preserve">Toplam </w:t>
      </w:r>
      <w:r w:rsidR="009133F5" w:rsidRPr="00703239">
        <w:rPr>
          <w:color w:val="262B2C"/>
          <w:lang w:eastAsia="tr-TR"/>
        </w:rPr>
        <w:t>i</w:t>
      </w:r>
      <w:r w:rsidRPr="00703239">
        <w:rPr>
          <w:color w:val="262B2C"/>
          <w:lang w:eastAsia="tr-TR"/>
        </w:rPr>
        <w:t>thalat</w:t>
      </w:r>
      <w:r w:rsidRPr="007F3DC8">
        <w:rPr>
          <w:color w:val="262B2C"/>
          <w:lang w:eastAsia="tr-TR"/>
        </w:rPr>
        <w:t> </w:t>
      </w:r>
      <w:r w:rsidR="009133F5">
        <w:rPr>
          <w:color w:val="262B2C"/>
          <w:lang w:eastAsia="tr-TR"/>
        </w:rPr>
        <w:tab/>
      </w:r>
      <w:r w:rsidR="009133F5">
        <w:rPr>
          <w:color w:val="262B2C"/>
          <w:lang w:eastAsia="tr-TR"/>
        </w:rPr>
        <w:tab/>
      </w:r>
      <w:r w:rsidRPr="007F3DC8">
        <w:rPr>
          <w:color w:val="262B2C"/>
          <w:lang w:eastAsia="tr-TR"/>
        </w:rPr>
        <w:t>: 18,299 milyar Avro (2020)</w:t>
      </w:r>
    </w:p>
    <w:p w14:paraId="4C458669" w14:textId="77777777" w:rsidR="007F3DC8" w:rsidRDefault="007F3DC8" w:rsidP="007F3DC8">
      <w:pPr>
        <w:rPr>
          <w:color w:val="262B2C"/>
          <w:lang w:eastAsia="tr-TR"/>
        </w:rPr>
      </w:pPr>
    </w:p>
    <w:p w14:paraId="2242591E" w14:textId="052577C9" w:rsidR="007F3DC8" w:rsidRPr="00703239" w:rsidRDefault="007F3DC8" w:rsidP="007F3DC8">
      <w:pPr>
        <w:pStyle w:val="NormalWeb"/>
        <w:jc w:val="both"/>
        <w:rPr>
          <w:b/>
          <w:u w:val="single"/>
        </w:rPr>
      </w:pPr>
      <w:r w:rsidRPr="00703239">
        <w:rPr>
          <w:b/>
          <w:u w:val="single"/>
        </w:rPr>
        <w:t xml:space="preserve">İkili Ekonomik </w:t>
      </w:r>
      <w:proofErr w:type="gramStart"/>
      <w:r w:rsidRPr="00703239">
        <w:rPr>
          <w:b/>
          <w:u w:val="single"/>
        </w:rPr>
        <w:t xml:space="preserve">İlişkiler </w:t>
      </w:r>
      <w:r w:rsidR="009133F5" w:rsidRPr="00703239">
        <w:rPr>
          <w:b/>
          <w:u w:val="single"/>
        </w:rPr>
        <w:t>:</w:t>
      </w:r>
      <w:proofErr w:type="gramEnd"/>
    </w:p>
    <w:p w14:paraId="666187BF" w14:textId="1AD54A47" w:rsidR="00B2073D" w:rsidRDefault="00B2073D" w:rsidP="00703239">
      <w:pPr>
        <w:shd w:val="clear" w:color="auto" w:fill="FFFFFF"/>
        <w:jc w:val="both"/>
        <w:rPr>
          <w:lang w:eastAsia="tr-TR"/>
        </w:rPr>
      </w:pPr>
      <w:r>
        <w:t>Lüksemburg ü</w:t>
      </w:r>
      <w:r w:rsidR="007F3DC8">
        <w:t>lkemize en fazla doğrudan yabancı yatırımda bulunan ilk on ülke arasında yer al</w:t>
      </w:r>
      <w:r>
        <w:t xml:space="preserve">maktadır. </w:t>
      </w:r>
      <w:r w:rsidR="007F3DC8">
        <w:t>Lüksemburg’dan ülkemize yapılan yatırımların toplam büyüklüğü 10 milyar Dolar seviyesinde</w:t>
      </w:r>
      <w:r>
        <w:t xml:space="preserve">dir. </w:t>
      </w:r>
      <w:r>
        <w:rPr>
          <w:lang w:eastAsia="fr-FR"/>
        </w:rPr>
        <w:t xml:space="preserve">Ancak bu tutarın ekseriyeti doğrudan Lüksemburg veya Lüksemburg firmalarının yatırımları olmayıp, ülkedeki uluslararası fonlar aracılığıyla yapılan yatırımlardır.   </w:t>
      </w:r>
      <w:r w:rsidR="007F3DC8">
        <w:t xml:space="preserve"> </w:t>
      </w:r>
      <w:r>
        <w:t>Ü</w:t>
      </w:r>
      <w:r w:rsidRPr="00B2073D">
        <w:rPr>
          <w:lang w:eastAsia="tr-TR"/>
        </w:rPr>
        <w:t xml:space="preserve">lkemizde faaliyette bulunan Lüksemburg sermayeli şirket sayısı </w:t>
      </w:r>
      <w:r>
        <w:rPr>
          <w:lang w:eastAsia="tr-TR"/>
        </w:rPr>
        <w:t xml:space="preserve">yaklaşık 500 kadardır. </w:t>
      </w:r>
      <w:r w:rsidRPr="00B2073D">
        <w:rPr>
          <w:lang w:eastAsia="tr-TR"/>
        </w:rPr>
        <w:t>Bu şirketlerin faaliyette bulunduğu başlıca sektörler gayrimenkul, toptan ve</w:t>
      </w:r>
      <w:r w:rsidR="003671CC">
        <w:rPr>
          <w:lang w:eastAsia="tr-TR"/>
        </w:rPr>
        <w:t xml:space="preserve"> perakende ticaret, imalat sanay</w:t>
      </w:r>
      <w:r w:rsidRPr="00B2073D">
        <w:rPr>
          <w:lang w:eastAsia="tr-TR"/>
        </w:rPr>
        <w:t>i, ulaştırma ve lojistik, enerji ve inşaattır.</w:t>
      </w:r>
    </w:p>
    <w:p w14:paraId="3F4547EC" w14:textId="77777777" w:rsidR="00A40944" w:rsidRPr="00B2073D" w:rsidRDefault="00A40944" w:rsidP="00703239">
      <w:pPr>
        <w:shd w:val="clear" w:color="auto" w:fill="FFFFFF"/>
        <w:jc w:val="both"/>
        <w:rPr>
          <w:lang w:eastAsia="tr-TR"/>
        </w:rPr>
      </w:pPr>
    </w:p>
    <w:p w14:paraId="46A19EE6" w14:textId="0971148B" w:rsidR="00B2073D" w:rsidRDefault="007F3DC8" w:rsidP="00703239">
      <w:pPr>
        <w:spacing w:line="276" w:lineRule="auto"/>
        <w:jc w:val="both"/>
        <w:rPr>
          <w:lang w:eastAsia="fr-FR"/>
        </w:rPr>
      </w:pPr>
      <w:r>
        <w:t xml:space="preserve">2020 yılında </w:t>
      </w:r>
      <w:r w:rsidR="00B2073D">
        <w:t xml:space="preserve">ikili ticaret hacmimiz </w:t>
      </w:r>
      <w:r>
        <w:t>237,3 milyon Dolar (139,7 milyon ithalat, 97,6 milyon ihracat) seviyesine yüksel</w:t>
      </w:r>
      <w:r w:rsidR="00B2073D">
        <w:t xml:space="preserve">miştir. </w:t>
      </w:r>
      <w:r w:rsidR="00B2073D" w:rsidRPr="00E94AD9">
        <w:rPr>
          <w:lang w:eastAsia="fr-FR"/>
        </w:rPr>
        <w:t xml:space="preserve">Lüksemburg’a ihracatımızda başlıca ürünler motorlu kara taşıtları, traktörler, kauçuk ve kauçuktan eşyalar ve dokunabilir mensucattır. Lüksemburg’dan ithalatımızda başlıca ürünler demir-çelik, plastik ve mamulleri, makinalar, mekanik cihaz ve aletler ile bunların aksam ve parçalarıdır. </w:t>
      </w:r>
    </w:p>
    <w:p w14:paraId="522DC6A7" w14:textId="77777777" w:rsidR="009133F5" w:rsidRDefault="009133F5" w:rsidP="00703239">
      <w:pPr>
        <w:spacing w:line="276" w:lineRule="auto"/>
        <w:jc w:val="both"/>
        <w:rPr>
          <w:lang w:eastAsia="fr-FR"/>
        </w:rPr>
      </w:pPr>
    </w:p>
    <w:p w14:paraId="7360372F" w14:textId="1D2AF8F7" w:rsidR="00824277" w:rsidRDefault="00313CDC" w:rsidP="00DA261F">
      <w:pPr>
        <w:jc w:val="both"/>
      </w:pPr>
      <w:r w:rsidRPr="00B91EB8">
        <w:t>Dünyanın en yüksek kişi başına düşen milli gelire sahip (110 bin Dolar) ülkelerinden biri olan</w:t>
      </w:r>
      <w:r>
        <w:t xml:space="preserve"> Lüksemburg, </w:t>
      </w:r>
      <w:r w:rsidRPr="00B91EB8">
        <w:t>nüfusu 12 milyona yaklaşan ve Almanya'nın (</w:t>
      </w:r>
      <w:proofErr w:type="spellStart"/>
      <w:r w:rsidRPr="00B91EB8">
        <w:t>Saarland</w:t>
      </w:r>
      <w:proofErr w:type="spellEnd"/>
      <w:r w:rsidRPr="00B91EB8">
        <w:t xml:space="preserve"> ve </w:t>
      </w:r>
      <w:proofErr w:type="spellStart"/>
      <w:r w:rsidRPr="00B91EB8">
        <w:t>Rheinland-P</w:t>
      </w:r>
      <w:r w:rsidR="003671CC">
        <w:t>f</w:t>
      </w:r>
      <w:r w:rsidR="00824277">
        <w:t>al</w:t>
      </w:r>
      <w:bookmarkStart w:id="0" w:name="_GoBack"/>
      <w:bookmarkEnd w:id="0"/>
      <w:r w:rsidR="003671CC">
        <w:t>z</w:t>
      </w:r>
      <w:proofErr w:type="spellEnd"/>
      <w:r w:rsidRPr="00B91EB8">
        <w:t xml:space="preserve"> eyaletleri), Fransa'nın (Lorraine bölgesi) ve Belçika'nın (</w:t>
      </w:r>
      <w:proofErr w:type="spellStart"/>
      <w:r w:rsidRPr="00B91EB8">
        <w:t>Valonya</w:t>
      </w:r>
      <w:proofErr w:type="spellEnd"/>
      <w:r w:rsidRPr="00B91EB8">
        <w:t xml:space="preserve"> ve Almanca konuşan bölgeleri) mücavir bölgelerini "Büyük Bölgenin (</w:t>
      </w:r>
      <w:proofErr w:type="spellStart"/>
      <w:r w:rsidRPr="00B91EB8">
        <w:t>Grande</w:t>
      </w:r>
      <w:proofErr w:type="spellEnd"/>
      <w:r w:rsidRPr="00B91EB8">
        <w:t xml:space="preserve"> </w:t>
      </w:r>
      <w:proofErr w:type="spellStart"/>
      <w:r w:rsidRPr="00B91EB8">
        <w:t>Région</w:t>
      </w:r>
      <w:proofErr w:type="spellEnd"/>
      <w:r w:rsidRPr="00B91EB8">
        <w:t>)</w:t>
      </w:r>
      <w:r>
        <w:t xml:space="preserve"> </w:t>
      </w:r>
      <w:r w:rsidRPr="00B91EB8">
        <w:t>de merkezi konumundadır. Büyük Bölge, %</w:t>
      </w:r>
      <w:r w:rsidR="0042695D">
        <w:t xml:space="preserve"> </w:t>
      </w:r>
      <w:r w:rsidRPr="00B91EB8">
        <w:t xml:space="preserve">70 ile AB ortalamasının üzerinde bir istihdam (Lüksemburg'da bu oran </w:t>
      </w:r>
      <w:r w:rsidR="00DA261F">
        <w:t xml:space="preserve">             </w:t>
      </w:r>
    </w:p>
    <w:p w14:paraId="4159C8B4" w14:textId="3E5C3B6A" w:rsidR="00313CDC" w:rsidRDefault="00313CDC" w:rsidP="00DA261F">
      <w:pPr>
        <w:jc w:val="both"/>
      </w:pPr>
      <w:r w:rsidRPr="00B91EB8">
        <w:t>%</w:t>
      </w:r>
      <w:r w:rsidR="003671CC">
        <w:t xml:space="preserve"> </w:t>
      </w:r>
      <w:r w:rsidRPr="00B91EB8">
        <w:t>72'dir) ve %</w:t>
      </w:r>
      <w:r w:rsidR="0042695D">
        <w:t xml:space="preserve"> </w:t>
      </w:r>
      <w:r w:rsidRPr="00B91EB8">
        <w:t xml:space="preserve">7 ile AB ortalamasının altında bir işsizlik oranına sahiptir.  </w:t>
      </w:r>
    </w:p>
    <w:p w14:paraId="689C8A22" w14:textId="77777777" w:rsidR="008E5353" w:rsidRPr="00B91EB8" w:rsidRDefault="008E5353" w:rsidP="00DA261F">
      <w:pPr>
        <w:jc w:val="both"/>
      </w:pPr>
    </w:p>
    <w:p w14:paraId="2C75717E" w14:textId="4B3C5DE2" w:rsidR="00313CDC" w:rsidRDefault="007F3DC8" w:rsidP="00703239">
      <w:pPr>
        <w:pStyle w:val="NormalWeb"/>
        <w:spacing w:before="0" w:beforeAutospacing="0" w:after="0" w:afterAutospacing="0"/>
        <w:jc w:val="both"/>
      </w:pPr>
      <w:r>
        <w:t>S</w:t>
      </w:r>
      <w:r w:rsidR="003671CC">
        <w:t>on yıllarda Lüksemburg’dan ülkem</w:t>
      </w:r>
      <w:r>
        <w:t xml:space="preserve">ize gelen turist sayısı </w:t>
      </w:r>
      <w:r w:rsidR="00313CDC">
        <w:t xml:space="preserve">ortalama </w:t>
      </w:r>
      <w:r>
        <w:t>10 bin seviyelerinde seyretmekte iken 2020 yılında salgının etkisiyle bu rakam 2228’e gerilemiş</w:t>
      </w:r>
      <w:r w:rsidR="00313CDC">
        <w:t xml:space="preserve">tir. </w:t>
      </w:r>
      <w:r>
        <w:t xml:space="preserve">2021 </w:t>
      </w:r>
      <w:proofErr w:type="gramStart"/>
      <w:r>
        <w:t>yılı</w:t>
      </w:r>
      <w:r w:rsidR="00313CDC">
        <w:t xml:space="preserve">nda </w:t>
      </w:r>
      <w:r>
        <w:t xml:space="preserve"> toparlanarak</w:t>
      </w:r>
      <w:proofErr w:type="gramEnd"/>
      <w:r>
        <w:t xml:space="preserve"> tekrar </w:t>
      </w:r>
      <w:r w:rsidR="00313CDC">
        <w:t xml:space="preserve">yaklaşık 10 bin seviyesine ulaşmıştır. </w:t>
      </w:r>
    </w:p>
    <w:p w14:paraId="308FA8EB" w14:textId="2843F656" w:rsidR="007F3DC8" w:rsidRDefault="007F3DC8" w:rsidP="00703239">
      <w:pPr>
        <w:pStyle w:val="NormalWeb"/>
        <w:spacing w:before="0" w:beforeAutospacing="0" w:after="0" w:afterAutospacing="0"/>
        <w:jc w:val="both"/>
      </w:pPr>
      <w:r>
        <w:lastRenderedPageBreak/>
        <w:t xml:space="preserve">THY İstanbul-Lüksemburg hattında her gün bir sefer düzenlemekteyken sağlık krizi nedeniyle frekans doluluğuna göre sefer sayısını haftada beşe düşürmüştür. </w:t>
      </w:r>
      <w:r w:rsidR="00B2073D">
        <w:t xml:space="preserve">Yaz sezonunda sefer sayısı artırılabilecektir. </w:t>
      </w:r>
    </w:p>
    <w:p w14:paraId="524E025B" w14:textId="77777777" w:rsidR="008E5353" w:rsidRDefault="008E5353" w:rsidP="00703239">
      <w:pPr>
        <w:pStyle w:val="NormalWeb"/>
        <w:spacing w:before="0" w:beforeAutospacing="0" w:after="0" w:afterAutospacing="0"/>
        <w:jc w:val="both"/>
      </w:pPr>
    </w:p>
    <w:p w14:paraId="1250176A" w14:textId="7362E861" w:rsidR="00A93701" w:rsidRDefault="00A93701" w:rsidP="00703239">
      <w:pPr>
        <w:pStyle w:val="NormalWeb"/>
        <w:spacing w:before="0" w:beforeAutospacing="0" w:after="0" w:afterAutospacing="0"/>
        <w:jc w:val="both"/>
      </w:pPr>
      <w:r w:rsidRPr="00A93701">
        <w:t xml:space="preserve">Türkiye-Lüksemburg Ortak Ekonomi ve Ticaret Komitesi </w:t>
      </w:r>
      <w:r w:rsidR="001E0169">
        <w:t>(</w:t>
      </w:r>
      <w:r w:rsidRPr="00A93701">
        <w:t xml:space="preserve">JETCO) 3. Toplantısı dönemin Ekonomi Bakanı Nihat Zeybekçi’nin </w:t>
      </w:r>
      <w:proofErr w:type="spellStart"/>
      <w:r w:rsidRPr="00A93701">
        <w:t>evsahipliğinde</w:t>
      </w:r>
      <w:proofErr w:type="spellEnd"/>
      <w:r w:rsidRPr="00A93701">
        <w:t xml:space="preserve"> Lüksemburg Başbakan Yardımcısı ve Ekonomi Bakanı </w:t>
      </w:r>
      <w:proofErr w:type="spellStart"/>
      <w:r w:rsidRPr="00A93701">
        <w:t>Etienne</w:t>
      </w:r>
      <w:proofErr w:type="spellEnd"/>
      <w:r w:rsidRPr="00A93701">
        <w:t xml:space="preserve"> </w:t>
      </w:r>
      <w:proofErr w:type="spellStart"/>
      <w:r w:rsidRPr="00A93701">
        <w:t>Schneider'in</w:t>
      </w:r>
      <w:proofErr w:type="spellEnd"/>
      <w:r w:rsidRPr="00A93701">
        <w:t xml:space="preserve"> katılımıyla 20 Mart 2017 tarihinde İstanbul’da gerçekleştirilmiştir. </w:t>
      </w:r>
    </w:p>
    <w:p w14:paraId="3479C860" w14:textId="77777777" w:rsidR="00703239" w:rsidRPr="00A93701" w:rsidRDefault="00703239" w:rsidP="00703239">
      <w:pPr>
        <w:pStyle w:val="NormalWeb"/>
        <w:spacing w:before="0" w:beforeAutospacing="0" w:after="0" w:afterAutospacing="0"/>
        <w:jc w:val="both"/>
      </w:pPr>
    </w:p>
    <w:p w14:paraId="52271E91" w14:textId="22F24C88" w:rsidR="00703239" w:rsidRDefault="00B2073D" w:rsidP="00B2073D">
      <w:pPr>
        <w:spacing w:line="259" w:lineRule="auto"/>
        <w:jc w:val="both"/>
        <w:rPr>
          <w:rFonts w:eastAsiaTheme="minorHAnsi"/>
        </w:rPr>
      </w:pPr>
      <w:r w:rsidRPr="00905E1C">
        <w:rPr>
          <w:rFonts w:eastAsiaTheme="minorHAnsi"/>
        </w:rPr>
        <w:tab/>
      </w:r>
      <w:r w:rsidRPr="00905E1C">
        <w:rPr>
          <w:rFonts w:eastAsiaTheme="minorHAnsi"/>
        </w:rPr>
        <w:tab/>
      </w:r>
      <w:r w:rsidRPr="00905E1C">
        <w:rPr>
          <w:rFonts w:eastAsiaTheme="minorHAnsi"/>
        </w:rPr>
        <w:tab/>
      </w:r>
      <w:r w:rsidRPr="00905E1C">
        <w:rPr>
          <w:rFonts w:eastAsiaTheme="minorHAnsi"/>
        </w:rPr>
        <w:tab/>
      </w:r>
      <w:r w:rsidRPr="00905E1C">
        <w:rPr>
          <w:rFonts w:eastAsiaTheme="minorHAnsi"/>
        </w:rPr>
        <w:tab/>
      </w:r>
      <w:r w:rsidRPr="00905E1C">
        <w:rPr>
          <w:rFonts w:eastAsiaTheme="minorHAnsi"/>
        </w:rPr>
        <w:tab/>
      </w:r>
      <w:r w:rsidRPr="00905E1C">
        <w:rPr>
          <w:rFonts w:eastAsiaTheme="minorHAnsi"/>
        </w:rPr>
        <w:tab/>
      </w:r>
      <w:r w:rsidR="0042695D">
        <w:rPr>
          <w:rFonts w:eastAsiaTheme="minorHAnsi"/>
        </w:rPr>
        <w:tab/>
      </w:r>
    </w:p>
    <w:p w14:paraId="5E3F97B5" w14:textId="77777777" w:rsidR="00703239" w:rsidRDefault="00703239" w:rsidP="00B2073D">
      <w:pPr>
        <w:spacing w:line="259" w:lineRule="auto"/>
        <w:jc w:val="both"/>
        <w:rPr>
          <w:rFonts w:eastAsiaTheme="minorHAnsi"/>
        </w:rPr>
      </w:pPr>
    </w:p>
    <w:p w14:paraId="259F0165" w14:textId="41CC860E" w:rsidR="00B2073D" w:rsidRPr="00905E1C" w:rsidRDefault="00B2073D" w:rsidP="00B2073D">
      <w:pPr>
        <w:spacing w:line="259" w:lineRule="auto"/>
        <w:jc w:val="both"/>
        <w:rPr>
          <w:rFonts w:eastAsiaTheme="minorHAnsi"/>
        </w:rPr>
      </w:pPr>
      <w:r w:rsidRPr="00905E1C">
        <w:rPr>
          <w:rFonts w:eastAsiaTheme="minorHAnsi"/>
        </w:rPr>
        <w:tab/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948"/>
        <w:gridCol w:w="1600"/>
        <w:gridCol w:w="1540"/>
        <w:gridCol w:w="1740"/>
        <w:gridCol w:w="2239"/>
      </w:tblGrid>
      <w:tr w:rsidR="00B2073D" w:rsidRPr="00D2510F" w14:paraId="49D1BE2F" w14:textId="77777777" w:rsidTr="00B2073D">
        <w:trPr>
          <w:trHeight w:val="285"/>
        </w:trPr>
        <w:tc>
          <w:tcPr>
            <w:tcW w:w="1948" w:type="dxa"/>
            <w:hideMark/>
          </w:tcPr>
          <w:p w14:paraId="3196A8CF" w14:textId="77777777" w:rsidR="00A40944" w:rsidRPr="00D2510F" w:rsidRDefault="00A40944" w:rsidP="00AE5F64">
            <w:pPr>
              <w:jc w:val="both"/>
              <w:rPr>
                <w:rFonts w:eastAsiaTheme="minorHAnsi"/>
                <w:b/>
                <w:bCs/>
              </w:rPr>
            </w:pPr>
          </w:p>
          <w:p w14:paraId="600548E5" w14:textId="0C3009D3" w:rsidR="00A40944" w:rsidRPr="00D2510F" w:rsidRDefault="00B2073D" w:rsidP="00AE5F64">
            <w:pPr>
              <w:jc w:val="both"/>
              <w:rPr>
                <w:rFonts w:eastAsiaTheme="minorHAnsi"/>
                <w:b/>
                <w:bCs/>
              </w:rPr>
            </w:pPr>
            <w:r w:rsidRPr="00D2510F">
              <w:rPr>
                <w:rFonts w:eastAsiaTheme="minorHAnsi"/>
                <w:b/>
                <w:bCs/>
              </w:rPr>
              <w:t>Yıllar</w:t>
            </w:r>
          </w:p>
        </w:tc>
        <w:tc>
          <w:tcPr>
            <w:tcW w:w="1600" w:type="dxa"/>
            <w:noWrap/>
            <w:hideMark/>
          </w:tcPr>
          <w:p w14:paraId="034A3E65" w14:textId="77777777" w:rsidR="00A40944" w:rsidRPr="00D2510F" w:rsidRDefault="00A40944" w:rsidP="00AE5F64">
            <w:pPr>
              <w:jc w:val="center"/>
              <w:rPr>
                <w:rFonts w:eastAsiaTheme="minorHAnsi"/>
                <w:b/>
                <w:bCs/>
              </w:rPr>
            </w:pPr>
          </w:p>
          <w:p w14:paraId="45CA64CA" w14:textId="4F928A00" w:rsidR="00D2510F" w:rsidRPr="00D2510F" w:rsidRDefault="00B2073D" w:rsidP="008E5353">
            <w:pPr>
              <w:jc w:val="center"/>
              <w:rPr>
                <w:rFonts w:eastAsiaTheme="minorHAnsi"/>
                <w:b/>
                <w:bCs/>
              </w:rPr>
            </w:pPr>
            <w:r w:rsidRPr="00D2510F">
              <w:rPr>
                <w:rFonts w:eastAsiaTheme="minorHAnsi"/>
                <w:b/>
                <w:bCs/>
              </w:rPr>
              <w:t>2017</w:t>
            </w:r>
          </w:p>
        </w:tc>
        <w:tc>
          <w:tcPr>
            <w:tcW w:w="1540" w:type="dxa"/>
            <w:noWrap/>
            <w:hideMark/>
          </w:tcPr>
          <w:p w14:paraId="3CB1530C" w14:textId="77777777" w:rsidR="00A40944" w:rsidRPr="00D2510F" w:rsidRDefault="00A40944" w:rsidP="00AE5F64">
            <w:pPr>
              <w:jc w:val="center"/>
              <w:rPr>
                <w:rFonts w:eastAsiaTheme="minorHAnsi"/>
                <w:b/>
                <w:bCs/>
              </w:rPr>
            </w:pPr>
          </w:p>
          <w:p w14:paraId="00896CEF" w14:textId="1EB0822D" w:rsidR="00D2510F" w:rsidRPr="00D2510F" w:rsidRDefault="00B2073D" w:rsidP="008E5353">
            <w:pPr>
              <w:jc w:val="center"/>
              <w:rPr>
                <w:rFonts w:eastAsiaTheme="minorHAnsi"/>
                <w:b/>
                <w:bCs/>
              </w:rPr>
            </w:pPr>
            <w:r w:rsidRPr="00D2510F">
              <w:rPr>
                <w:rFonts w:eastAsiaTheme="minorHAnsi"/>
                <w:b/>
                <w:bCs/>
              </w:rPr>
              <w:t>2018</w:t>
            </w:r>
          </w:p>
        </w:tc>
        <w:tc>
          <w:tcPr>
            <w:tcW w:w="1740" w:type="dxa"/>
            <w:noWrap/>
            <w:hideMark/>
          </w:tcPr>
          <w:p w14:paraId="18D702DC" w14:textId="77777777" w:rsidR="00A40944" w:rsidRPr="00D2510F" w:rsidRDefault="00A40944" w:rsidP="00AE5F64">
            <w:pPr>
              <w:jc w:val="center"/>
              <w:rPr>
                <w:rFonts w:eastAsiaTheme="minorHAnsi"/>
                <w:b/>
                <w:bCs/>
              </w:rPr>
            </w:pPr>
          </w:p>
          <w:p w14:paraId="3324AE3E" w14:textId="40E8A7D8" w:rsidR="00D2510F" w:rsidRPr="00D2510F" w:rsidRDefault="00B2073D" w:rsidP="008E5353">
            <w:pPr>
              <w:jc w:val="center"/>
              <w:rPr>
                <w:rFonts w:eastAsiaTheme="minorHAnsi"/>
                <w:b/>
                <w:bCs/>
              </w:rPr>
            </w:pPr>
            <w:r w:rsidRPr="00D2510F">
              <w:rPr>
                <w:rFonts w:eastAsiaTheme="minorHAnsi"/>
                <w:b/>
                <w:bCs/>
              </w:rPr>
              <w:t>2019</w:t>
            </w:r>
          </w:p>
        </w:tc>
        <w:tc>
          <w:tcPr>
            <w:tcW w:w="2239" w:type="dxa"/>
            <w:noWrap/>
            <w:hideMark/>
          </w:tcPr>
          <w:p w14:paraId="7F373683" w14:textId="77777777" w:rsidR="00A40944" w:rsidRPr="00D2510F" w:rsidRDefault="00A40944" w:rsidP="00AE5F64">
            <w:pPr>
              <w:jc w:val="center"/>
              <w:rPr>
                <w:rFonts w:eastAsiaTheme="minorHAnsi"/>
                <w:b/>
                <w:bCs/>
              </w:rPr>
            </w:pPr>
          </w:p>
          <w:p w14:paraId="6667E24A" w14:textId="48ABE5AD" w:rsidR="00B2073D" w:rsidRPr="00D2510F" w:rsidRDefault="00B2073D" w:rsidP="00AE5F64">
            <w:pPr>
              <w:jc w:val="center"/>
              <w:rPr>
                <w:rFonts w:eastAsiaTheme="minorHAnsi"/>
                <w:b/>
                <w:bCs/>
              </w:rPr>
            </w:pPr>
            <w:r w:rsidRPr="00D2510F">
              <w:rPr>
                <w:rFonts w:eastAsiaTheme="minorHAnsi"/>
                <w:b/>
                <w:bCs/>
              </w:rPr>
              <w:t>2020</w:t>
            </w:r>
          </w:p>
          <w:p w14:paraId="213D5AD1" w14:textId="23C81589" w:rsidR="00A40944" w:rsidRPr="00D2510F" w:rsidRDefault="00A40944" w:rsidP="008E5353">
            <w:pPr>
              <w:rPr>
                <w:rFonts w:eastAsiaTheme="minorHAnsi"/>
                <w:b/>
                <w:bCs/>
              </w:rPr>
            </w:pPr>
          </w:p>
        </w:tc>
      </w:tr>
      <w:tr w:rsidR="00B2073D" w:rsidRPr="00905E1C" w14:paraId="0BEAD666" w14:textId="77777777" w:rsidTr="00B2073D">
        <w:trPr>
          <w:trHeight w:val="390"/>
        </w:trPr>
        <w:tc>
          <w:tcPr>
            <w:tcW w:w="1948" w:type="dxa"/>
            <w:hideMark/>
          </w:tcPr>
          <w:p w14:paraId="68683FF1" w14:textId="77777777" w:rsidR="00703239" w:rsidRPr="00D2510F" w:rsidRDefault="00703239" w:rsidP="00AE5F64">
            <w:pPr>
              <w:jc w:val="both"/>
              <w:rPr>
                <w:rFonts w:eastAsiaTheme="minorHAnsi"/>
                <w:b/>
                <w:bCs/>
              </w:rPr>
            </w:pPr>
          </w:p>
          <w:p w14:paraId="42C7150D" w14:textId="4B75270F" w:rsidR="00B2073D" w:rsidRPr="00D2510F" w:rsidRDefault="00B2073D" w:rsidP="00AE5F64">
            <w:pPr>
              <w:jc w:val="both"/>
              <w:rPr>
                <w:rFonts w:eastAsiaTheme="minorHAnsi"/>
                <w:b/>
                <w:bCs/>
              </w:rPr>
            </w:pPr>
            <w:r w:rsidRPr="00D2510F">
              <w:rPr>
                <w:rFonts w:eastAsiaTheme="minorHAnsi"/>
                <w:b/>
                <w:bCs/>
              </w:rPr>
              <w:t>İhracatımız</w:t>
            </w:r>
          </w:p>
        </w:tc>
        <w:tc>
          <w:tcPr>
            <w:tcW w:w="1600" w:type="dxa"/>
            <w:noWrap/>
            <w:hideMark/>
          </w:tcPr>
          <w:p w14:paraId="660E3E33" w14:textId="77777777" w:rsidR="00703239" w:rsidRDefault="00703239" w:rsidP="00AE5F64">
            <w:pPr>
              <w:jc w:val="center"/>
              <w:rPr>
                <w:rFonts w:eastAsiaTheme="minorHAnsi"/>
              </w:rPr>
            </w:pPr>
          </w:p>
          <w:p w14:paraId="6A7F7859" w14:textId="168ACE04" w:rsidR="00B2073D" w:rsidRPr="00905E1C" w:rsidRDefault="00B2073D" w:rsidP="00AE5F64">
            <w:pPr>
              <w:jc w:val="center"/>
              <w:rPr>
                <w:rFonts w:eastAsiaTheme="minorHAnsi"/>
              </w:rPr>
            </w:pPr>
            <w:r w:rsidRPr="00905E1C">
              <w:rPr>
                <w:rFonts w:eastAsiaTheme="minorHAnsi"/>
              </w:rPr>
              <w:t>40.694</w:t>
            </w:r>
          </w:p>
        </w:tc>
        <w:tc>
          <w:tcPr>
            <w:tcW w:w="1540" w:type="dxa"/>
            <w:noWrap/>
            <w:hideMark/>
          </w:tcPr>
          <w:p w14:paraId="427ED3A9" w14:textId="77777777" w:rsidR="00703239" w:rsidRDefault="00703239" w:rsidP="00AE5F64">
            <w:pPr>
              <w:jc w:val="center"/>
              <w:rPr>
                <w:rFonts w:eastAsiaTheme="minorHAnsi"/>
              </w:rPr>
            </w:pPr>
          </w:p>
          <w:p w14:paraId="3738EC5D" w14:textId="5E92D83F" w:rsidR="00B2073D" w:rsidRPr="00905E1C" w:rsidRDefault="00B2073D" w:rsidP="00AE5F64">
            <w:pPr>
              <w:jc w:val="center"/>
              <w:rPr>
                <w:rFonts w:eastAsiaTheme="minorHAnsi"/>
              </w:rPr>
            </w:pPr>
            <w:r w:rsidRPr="00905E1C">
              <w:rPr>
                <w:rFonts w:eastAsiaTheme="minorHAnsi"/>
              </w:rPr>
              <w:t>73.172</w:t>
            </w:r>
          </w:p>
        </w:tc>
        <w:tc>
          <w:tcPr>
            <w:tcW w:w="1740" w:type="dxa"/>
            <w:noWrap/>
            <w:hideMark/>
          </w:tcPr>
          <w:p w14:paraId="21268A42" w14:textId="77777777" w:rsidR="00703239" w:rsidRDefault="00703239" w:rsidP="00AE5F64">
            <w:pPr>
              <w:jc w:val="center"/>
              <w:rPr>
                <w:rFonts w:eastAsiaTheme="minorHAnsi"/>
              </w:rPr>
            </w:pPr>
          </w:p>
          <w:p w14:paraId="1DD07332" w14:textId="5C3CBCDE" w:rsidR="00B2073D" w:rsidRPr="00905E1C" w:rsidRDefault="00B2073D" w:rsidP="00AE5F64">
            <w:pPr>
              <w:jc w:val="center"/>
              <w:rPr>
                <w:rFonts w:eastAsiaTheme="minorHAnsi"/>
              </w:rPr>
            </w:pPr>
            <w:r w:rsidRPr="00905E1C">
              <w:rPr>
                <w:rFonts w:eastAsiaTheme="minorHAnsi"/>
              </w:rPr>
              <w:t>70.733</w:t>
            </w:r>
          </w:p>
        </w:tc>
        <w:tc>
          <w:tcPr>
            <w:tcW w:w="2239" w:type="dxa"/>
            <w:noWrap/>
            <w:hideMark/>
          </w:tcPr>
          <w:p w14:paraId="08ED30B2" w14:textId="77777777" w:rsidR="00703239" w:rsidRDefault="00703239" w:rsidP="00AE5F64">
            <w:pPr>
              <w:jc w:val="center"/>
              <w:rPr>
                <w:rFonts w:eastAsiaTheme="minorHAnsi"/>
              </w:rPr>
            </w:pPr>
          </w:p>
          <w:p w14:paraId="3E4AF243" w14:textId="1501C6CC" w:rsidR="00703239" w:rsidRDefault="00B2073D" w:rsidP="008E5353">
            <w:pPr>
              <w:jc w:val="center"/>
              <w:rPr>
                <w:rFonts w:eastAsiaTheme="minorHAnsi"/>
              </w:rPr>
            </w:pPr>
            <w:r w:rsidRPr="00905E1C">
              <w:rPr>
                <w:rFonts w:eastAsiaTheme="minorHAnsi"/>
              </w:rPr>
              <w:t>98.000</w:t>
            </w:r>
          </w:p>
          <w:p w14:paraId="60DFFC9C" w14:textId="0CD0FF4B" w:rsidR="00703239" w:rsidRPr="00905E1C" w:rsidRDefault="00703239" w:rsidP="00AE5F64">
            <w:pPr>
              <w:jc w:val="center"/>
              <w:rPr>
                <w:rFonts w:eastAsiaTheme="minorHAnsi"/>
              </w:rPr>
            </w:pPr>
          </w:p>
        </w:tc>
      </w:tr>
      <w:tr w:rsidR="00B2073D" w:rsidRPr="00905E1C" w14:paraId="0DBB7415" w14:textId="77777777" w:rsidTr="00B2073D">
        <w:trPr>
          <w:trHeight w:val="390"/>
        </w:trPr>
        <w:tc>
          <w:tcPr>
            <w:tcW w:w="1948" w:type="dxa"/>
            <w:hideMark/>
          </w:tcPr>
          <w:p w14:paraId="335ECF51" w14:textId="77777777" w:rsidR="00703239" w:rsidRPr="00D2510F" w:rsidRDefault="00703239" w:rsidP="00AE5F64">
            <w:pPr>
              <w:jc w:val="both"/>
              <w:rPr>
                <w:rFonts w:eastAsiaTheme="minorHAnsi"/>
                <w:b/>
                <w:bCs/>
              </w:rPr>
            </w:pPr>
          </w:p>
          <w:p w14:paraId="4B2FC5D8" w14:textId="0269E40F" w:rsidR="00B2073D" w:rsidRPr="00D2510F" w:rsidRDefault="00B2073D" w:rsidP="00AE5F64">
            <w:pPr>
              <w:jc w:val="both"/>
              <w:rPr>
                <w:rFonts w:eastAsiaTheme="minorHAnsi"/>
                <w:b/>
                <w:bCs/>
              </w:rPr>
            </w:pPr>
            <w:r w:rsidRPr="00D2510F">
              <w:rPr>
                <w:rFonts w:eastAsiaTheme="minorHAnsi"/>
                <w:b/>
                <w:bCs/>
              </w:rPr>
              <w:t>İthalatımız</w:t>
            </w:r>
          </w:p>
        </w:tc>
        <w:tc>
          <w:tcPr>
            <w:tcW w:w="1600" w:type="dxa"/>
            <w:noWrap/>
            <w:hideMark/>
          </w:tcPr>
          <w:p w14:paraId="6EBD20B6" w14:textId="77777777" w:rsidR="00703239" w:rsidRDefault="00703239" w:rsidP="00AE5F64">
            <w:pPr>
              <w:jc w:val="center"/>
              <w:rPr>
                <w:rFonts w:eastAsiaTheme="minorHAnsi"/>
              </w:rPr>
            </w:pPr>
          </w:p>
          <w:p w14:paraId="02C5D18E" w14:textId="57443549" w:rsidR="00B2073D" w:rsidRPr="00905E1C" w:rsidRDefault="00B2073D" w:rsidP="00AE5F64">
            <w:pPr>
              <w:jc w:val="center"/>
              <w:rPr>
                <w:rFonts w:eastAsiaTheme="minorHAnsi"/>
              </w:rPr>
            </w:pPr>
            <w:r w:rsidRPr="00905E1C">
              <w:rPr>
                <w:rFonts w:eastAsiaTheme="minorHAnsi"/>
              </w:rPr>
              <w:t>129.115</w:t>
            </w:r>
          </w:p>
        </w:tc>
        <w:tc>
          <w:tcPr>
            <w:tcW w:w="1540" w:type="dxa"/>
            <w:noWrap/>
            <w:hideMark/>
          </w:tcPr>
          <w:p w14:paraId="63AD4705" w14:textId="77777777" w:rsidR="00703239" w:rsidRDefault="00703239" w:rsidP="00AE5F64">
            <w:pPr>
              <w:jc w:val="center"/>
              <w:rPr>
                <w:rFonts w:eastAsiaTheme="minorHAnsi"/>
              </w:rPr>
            </w:pPr>
          </w:p>
          <w:p w14:paraId="7A04DF24" w14:textId="689CD53C" w:rsidR="00B2073D" w:rsidRPr="00905E1C" w:rsidRDefault="00B2073D" w:rsidP="00AE5F64">
            <w:pPr>
              <w:jc w:val="center"/>
              <w:rPr>
                <w:rFonts w:eastAsiaTheme="minorHAnsi"/>
              </w:rPr>
            </w:pPr>
            <w:r w:rsidRPr="00905E1C">
              <w:rPr>
                <w:rFonts w:eastAsiaTheme="minorHAnsi"/>
              </w:rPr>
              <w:t>171.820</w:t>
            </w:r>
          </w:p>
        </w:tc>
        <w:tc>
          <w:tcPr>
            <w:tcW w:w="1740" w:type="dxa"/>
            <w:noWrap/>
            <w:hideMark/>
          </w:tcPr>
          <w:p w14:paraId="2112C6DD" w14:textId="77777777" w:rsidR="00703239" w:rsidRDefault="00703239" w:rsidP="00AE5F64">
            <w:pPr>
              <w:jc w:val="center"/>
              <w:rPr>
                <w:rFonts w:eastAsiaTheme="minorHAnsi"/>
              </w:rPr>
            </w:pPr>
          </w:p>
          <w:p w14:paraId="27F16EE1" w14:textId="098A7E0F" w:rsidR="00B2073D" w:rsidRPr="00905E1C" w:rsidRDefault="00B2073D" w:rsidP="00AE5F64">
            <w:pPr>
              <w:jc w:val="center"/>
              <w:rPr>
                <w:rFonts w:eastAsiaTheme="minorHAnsi"/>
              </w:rPr>
            </w:pPr>
            <w:r w:rsidRPr="00905E1C">
              <w:rPr>
                <w:rFonts w:eastAsiaTheme="minorHAnsi"/>
              </w:rPr>
              <w:t>114.563</w:t>
            </w:r>
          </w:p>
        </w:tc>
        <w:tc>
          <w:tcPr>
            <w:tcW w:w="2239" w:type="dxa"/>
            <w:noWrap/>
            <w:hideMark/>
          </w:tcPr>
          <w:p w14:paraId="590AA79E" w14:textId="77777777" w:rsidR="00703239" w:rsidRDefault="00703239" w:rsidP="00AE5F64">
            <w:pPr>
              <w:jc w:val="center"/>
              <w:rPr>
                <w:rFonts w:eastAsiaTheme="minorHAnsi"/>
              </w:rPr>
            </w:pPr>
          </w:p>
          <w:p w14:paraId="66F2FC64" w14:textId="08CD45F3" w:rsidR="00B2073D" w:rsidRDefault="00B2073D" w:rsidP="00AE5F64">
            <w:pPr>
              <w:jc w:val="center"/>
              <w:rPr>
                <w:rFonts w:eastAsiaTheme="minorHAnsi"/>
              </w:rPr>
            </w:pPr>
            <w:r w:rsidRPr="00905E1C">
              <w:rPr>
                <w:rFonts w:eastAsiaTheme="minorHAnsi"/>
              </w:rPr>
              <w:t>140.000</w:t>
            </w:r>
          </w:p>
          <w:p w14:paraId="74376F73" w14:textId="7F2E9273" w:rsidR="00703239" w:rsidRPr="00905E1C" w:rsidRDefault="00703239" w:rsidP="008E5353">
            <w:pPr>
              <w:rPr>
                <w:rFonts w:eastAsiaTheme="minorHAnsi"/>
              </w:rPr>
            </w:pPr>
          </w:p>
        </w:tc>
      </w:tr>
      <w:tr w:rsidR="00B2073D" w:rsidRPr="00905E1C" w14:paraId="203617B7" w14:textId="77777777" w:rsidTr="00B2073D">
        <w:trPr>
          <w:trHeight w:val="390"/>
        </w:trPr>
        <w:tc>
          <w:tcPr>
            <w:tcW w:w="1948" w:type="dxa"/>
            <w:hideMark/>
          </w:tcPr>
          <w:p w14:paraId="791C441E" w14:textId="77777777" w:rsidR="00703239" w:rsidRPr="00D2510F" w:rsidRDefault="00703239" w:rsidP="00AE5F64">
            <w:pPr>
              <w:jc w:val="both"/>
              <w:rPr>
                <w:rFonts w:eastAsiaTheme="minorHAnsi"/>
                <w:b/>
                <w:bCs/>
              </w:rPr>
            </w:pPr>
          </w:p>
          <w:p w14:paraId="6B611348" w14:textId="33E1D104" w:rsidR="00B2073D" w:rsidRPr="00D2510F" w:rsidRDefault="00B2073D" w:rsidP="00AE5F64">
            <w:pPr>
              <w:jc w:val="both"/>
              <w:rPr>
                <w:rFonts w:eastAsiaTheme="minorHAnsi"/>
                <w:b/>
                <w:bCs/>
              </w:rPr>
            </w:pPr>
            <w:r w:rsidRPr="00D2510F">
              <w:rPr>
                <w:rFonts w:eastAsiaTheme="minorHAnsi"/>
                <w:b/>
                <w:bCs/>
              </w:rPr>
              <w:t>Ticaret Hacmi</w:t>
            </w:r>
          </w:p>
        </w:tc>
        <w:tc>
          <w:tcPr>
            <w:tcW w:w="1600" w:type="dxa"/>
            <w:noWrap/>
            <w:hideMark/>
          </w:tcPr>
          <w:p w14:paraId="37BD0006" w14:textId="77777777" w:rsidR="00703239" w:rsidRDefault="00703239" w:rsidP="00AE5F64">
            <w:pPr>
              <w:jc w:val="center"/>
              <w:rPr>
                <w:rFonts w:eastAsiaTheme="minorHAnsi"/>
              </w:rPr>
            </w:pPr>
          </w:p>
          <w:p w14:paraId="062DA034" w14:textId="4C6E1F8B" w:rsidR="00B2073D" w:rsidRPr="00905E1C" w:rsidRDefault="00B2073D" w:rsidP="00AE5F64">
            <w:pPr>
              <w:jc w:val="center"/>
              <w:rPr>
                <w:rFonts w:eastAsiaTheme="minorHAnsi"/>
              </w:rPr>
            </w:pPr>
            <w:r w:rsidRPr="00905E1C">
              <w:rPr>
                <w:rFonts w:eastAsiaTheme="minorHAnsi"/>
              </w:rPr>
              <w:t>169.809</w:t>
            </w:r>
          </w:p>
        </w:tc>
        <w:tc>
          <w:tcPr>
            <w:tcW w:w="1540" w:type="dxa"/>
            <w:noWrap/>
            <w:hideMark/>
          </w:tcPr>
          <w:p w14:paraId="426D99F8" w14:textId="77777777" w:rsidR="00703239" w:rsidRDefault="00703239" w:rsidP="00AE5F64">
            <w:pPr>
              <w:jc w:val="center"/>
              <w:rPr>
                <w:rFonts w:eastAsiaTheme="minorHAnsi"/>
              </w:rPr>
            </w:pPr>
          </w:p>
          <w:p w14:paraId="1F67A5DD" w14:textId="68B6A890" w:rsidR="00B2073D" w:rsidRPr="00905E1C" w:rsidRDefault="00B2073D" w:rsidP="00AE5F64">
            <w:pPr>
              <w:jc w:val="center"/>
              <w:rPr>
                <w:rFonts w:eastAsiaTheme="minorHAnsi"/>
              </w:rPr>
            </w:pPr>
            <w:r w:rsidRPr="00905E1C">
              <w:rPr>
                <w:rFonts w:eastAsiaTheme="minorHAnsi"/>
              </w:rPr>
              <w:t>244.992</w:t>
            </w:r>
          </w:p>
        </w:tc>
        <w:tc>
          <w:tcPr>
            <w:tcW w:w="1740" w:type="dxa"/>
            <w:noWrap/>
            <w:hideMark/>
          </w:tcPr>
          <w:p w14:paraId="1F93D43C" w14:textId="77777777" w:rsidR="00703239" w:rsidRDefault="00703239" w:rsidP="00AE5F64">
            <w:pPr>
              <w:jc w:val="center"/>
              <w:rPr>
                <w:rFonts w:eastAsiaTheme="minorHAnsi"/>
              </w:rPr>
            </w:pPr>
          </w:p>
          <w:p w14:paraId="6652C0E3" w14:textId="01B88A07" w:rsidR="00B2073D" w:rsidRPr="00905E1C" w:rsidRDefault="00B2073D" w:rsidP="00AE5F64">
            <w:pPr>
              <w:jc w:val="center"/>
              <w:rPr>
                <w:rFonts w:eastAsiaTheme="minorHAnsi"/>
              </w:rPr>
            </w:pPr>
            <w:r w:rsidRPr="00905E1C">
              <w:rPr>
                <w:rFonts w:eastAsiaTheme="minorHAnsi"/>
              </w:rPr>
              <w:t>185.296</w:t>
            </w:r>
          </w:p>
        </w:tc>
        <w:tc>
          <w:tcPr>
            <w:tcW w:w="2239" w:type="dxa"/>
            <w:noWrap/>
            <w:hideMark/>
          </w:tcPr>
          <w:p w14:paraId="42AF353F" w14:textId="77777777" w:rsidR="00703239" w:rsidRDefault="00703239" w:rsidP="00703239">
            <w:pPr>
              <w:tabs>
                <w:tab w:val="left" w:pos="398"/>
                <w:tab w:val="center" w:pos="1011"/>
              </w:tabs>
              <w:rPr>
                <w:rFonts w:eastAsiaTheme="minorHAnsi"/>
              </w:rPr>
            </w:pPr>
            <w:r>
              <w:rPr>
                <w:rFonts w:eastAsiaTheme="minorHAnsi"/>
              </w:rPr>
              <w:tab/>
            </w:r>
            <w:r>
              <w:rPr>
                <w:rFonts w:eastAsiaTheme="minorHAnsi"/>
              </w:rPr>
              <w:tab/>
            </w:r>
          </w:p>
          <w:p w14:paraId="54998857" w14:textId="569A7D30" w:rsidR="00B2073D" w:rsidRDefault="00B2073D" w:rsidP="00703239">
            <w:pPr>
              <w:tabs>
                <w:tab w:val="left" w:pos="398"/>
                <w:tab w:val="center" w:pos="1011"/>
              </w:tabs>
              <w:jc w:val="center"/>
              <w:rPr>
                <w:rFonts w:eastAsiaTheme="minorHAnsi"/>
              </w:rPr>
            </w:pPr>
            <w:r w:rsidRPr="00905E1C">
              <w:rPr>
                <w:rFonts w:eastAsiaTheme="minorHAnsi"/>
              </w:rPr>
              <w:t>238.000</w:t>
            </w:r>
          </w:p>
          <w:p w14:paraId="0FBEA7C0" w14:textId="67115657" w:rsidR="00703239" w:rsidRPr="00905E1C" w:rsidRDefault="00703239" w:rsidP="008E5353">
            <w:pPr>
              <w:rPr>
                <w:rFonts w:eastAsiaTheme="minorHAnsi"/>
              </w:rPr>
            </w:pPr>
          </w:p>
        </w:tc>
      </w:tr>
      <w:tr w:rsidR="00B2073D" w:rsidRPr="00905E1C" w14:paraId="0E245832" w14:textId="77777777" w:rsidTr="00B2073D">
        <w:trPr>
          <w:trHeight w:val="285"/>
        </w:trPr>
        <w:tc>
          <w:tcPr>
            <w:tcW w:w="1948" w:type="dxa"/>
            <w:hideMark/>
          </w:tcPr>
          <w:p w14:paraId="2A4C50C5" w14:textId="77777777" w:rsidR="00703239" w:rsidRPr="00D2510F" w:rsidRDefault="00703239" w:rsidP="00AE5F64">
            <w:pPr>
              <w:jc w:val="both"/>
              <w:rPr>
                <w:rFonts w:eastAsiaTheme="minorHAnsi"/>
                <w:b/>
                <w:bCs/>
              </w:rPr>
            </w:pPr>
          </w:p>
          <w:p w14:paraId="56388C57" w14:textId="77D465A5" w:rsidR="00B2073D" w:rsidRPr="00D2510F" w:rsidRDefault="00B2073D" w:rsidP="00AE5F64">
            <w:pPr>
              <w:jc w:val="both"/>
              <w:rPr>
                <w:rFonts w:eastAsiaTheme="minorHAnsi"/>
                <w:b/>
                <w:bCs/>
              </w:rPr>
            </w:pPr>
            <w:r w:rsidRPr="00D2510F">
              <w:rPr>
                <w:rFonts w:eastAsiaTheme="minorHAnsi"/>
                <w:b/>
                <w:bCs/>
              </w:rPr>
              <w:t>Denge</w:t>
            </w:r>
          </w:p>
        </w:tc>
        <w:tc>
          <w:tcPr>
            <w:tcW w:w="1600" w:type="dxa"/>
            <w:noWrap/>
            <w:hideMark/>
          </w:tcPr>
          <w:p w14:paraId="2BC9CD44" w14:textId="77777777" w:rsidR="00703239" w:rsidRDefault="00703239" w:rsidP="00AE5F64">
            <w:pPr>
              <w:jc w:val="center"/>
              <w:rPr>
                <w:rFonts w:eastAsiaTheme="minorHAnsi"/>
              </w:rPr>
            </w:pPr>
          </w:p>
          <w:p w14:paraId="526CBCAC" w14:textId="1744219A" w:rsidR="00B2073D" w:rsidRPr="00905E1C" w:rsidRDefault="00B2073D" w:rsidP="00AE5F64">
            <w:pPr>
              <w:jc w:val="center"/>
              <w:rPr>
                <w:rFonts w:eastAsiaTheme="minorHAnsi"/>
              </w:rPr>
            </w:pPr>
            <w:r w:rsidRPr="00905E1C">
              <w:rPr>
                <w:rFonts w:eastAsiaTheme="minorHAnsi"/>
              </w:rPr>
              <w:t>-88.421</w:t>
            </w:r>
          </w:p>
        </w:tc>
        <w:tc>
          <w:tcPr>
            <w:tcW w:w="1540" w:type="dxa"/>
            <w:noWrap/>
            <w:hideMark/>
          </w:tcPr>
          <w:p w14:paraId="3F8CCA92" w14:textId="77777777" w:rsidR="00703239" w:rsidRDefault="00703239" w:rsidP="00AE5F64">
            <w:pPr>
              <w:jc w:val="center"/>
              <w:rPr>
                <w:rFonts w:eastAsiaTheme="minorHAnsi"/>
              </w:rPr>
            </w:pPr>
          </w:p>
          <w:p w14:paraId="308EEEDF" w14:textId="36CBB288" w:rsidR="00B2073D" w:rsidRPr="00905E1C" w:rsidRDefault="00B2073D" w:rsidP="00AE5F64">
            <w:pPr>
              <w:jc w:val="center"/>
              <w:rPr>
                <w:rFonts w:eastAsiaTheme="minorHAnsi"/>
              </w:rPr>
            </w:pPr>
            <w:r w:rsidRPr="00905E1C">
              <w:rPr>
                <w:rFonts w:eastAsiaTheme="minorHAnsi"/>
              </w:rPr>
              <w:t>-98.648</w:t>
            </w:r>
          </w:p>
        </w:tc>
        <w:tc>
          <w:tcPr>
            <w:tcW w:w="1740" w:type="dxa"/>
            <w:noWrap/>
            <w:hideMark/>
          </w:tcPr>
          <w:p w14:paraId="717BD5F3" w14:textId="77777777" w:rsidR="00703239" w:rsidRDefault="00703239" w:rsidP="00AE5F64">
            <w:pPr>
              <w:jc w:val="center"/>
              <w:rPr>
                <w:rFonts w:eastAsiaTheme="minorHAnsi"/>
              </w:rPr>
            </w:pPr>
          </w:p>
          <w:p w14:paraId="766EB96D" w14:textId="3FA67FA6" w:rsidR="00B2073D" w:rsidRPr="00905E1C" w:rsidRDefault="00B2073D" w:rsidP="00AE5F64">
            <w:pPr>
              <w:jc w:val="center"/>
              <w:rPr>
                <w:rFonts w:eastAsiaTheme="minorHAnsi"/>
              </w:rPr>
            </w:pPr>
            <w:r w:rsidRPr="00905E1C">
              <w:rPr>
                <w:rFonts w:eastAsiaTheme="minorHAnsi"/>
              </w:rPr>
              <w:t>-43.830</w:t>
            </w:r>
          </w:p>
        </w:tc>
        <w:tc>
          <w:tcPr>
            <w:tcW w:w="2239" w:type="dxa"/>
            <w:noWrap/>
            <w:hideMark/>
          </w:tcPr>
          <w:p w14:paraId="4C3F9E3E" w14:textId="77777777" w:rsidR="00703239" w:rsidRDefault="00703239" w:rsidP="00AE5F64">
            <w:pPr>
              <w:jc w:val="center"/>
              <w:rPr>
                <w:rFonts w:eastAsiaTheme="minorHAnsi"/>
              </w:rPr>
            </w:pPr>
          </w:p>
          <w:p w14:paraId="0C897F4B" w14:textId="4117E1D6" w:rsidR="00B2073D" w:rsidRDefault="00B2073D" w:rsidP="00AE5F64">
            <w:pPr>
              <w:jc w:val="center"/>
              <w:rPr>
                <w:rFonts w:eastAsiaTheme="minorHAnsi"/>
              </w:rPr>
            </w:pPr>
            <w:r w:rsidRPr="00905E1C">
              <w:rPr>
                <w:rFonts w:eastAsiaTheme="minorHAnsi"/>
              </w:rPr>
              <w:t>-42.000</w:t>
            </w:r>
          </w:p>
          <w:p w14:paraId="10CC7154" w14:textId="72E6E291" w:rsidR="00703239" w:rsidRPr="00905E1C" w:rsidRDefault="00703239" w:rsidP="008E5353">
            <w:pPr>
              <w:rPr>
                <w:rFonts w:eastAsiaTheme="minorHAnsi"/>
              </w:rPr>
            </w:pPr>
          </w:p>
        </w:tc>
      </w:tr>
    </w:tbl>
    <w:p w14:paraId="44293A0D" w14:textId="5039044F" w:rsidR="003671CC" w:rsidRDefault="003671CC" w:rsidP="003671CC">
      <w:pPr>
        <w:spacing w:line="259" w:lineRule="auto"/>
        <w:jc w:val="both"/>
        <w:rPr>
          <w:rFonts w:eastAsiaTheme="minorHAnsi"/>
        </w:rPr>
      </w:pPr>
      <w:r w:rsidRPr="00905E1C">
        <w:rPr>
          <w:rFonts w:eastAsiaTheme="minorHAnsi"/>
        </w:rPr>
        <w:t>Kaynak: TÜİK</w:t>
      </w:r>
      <w:r w:rsidRPr="003671CC">
        <w:rPr>
          <w:rFonts w:eastAsiaTheme="minorHAnsi"/>
        </w:rPr>
        <w:t xml:space="preserve"> 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 xml:space="preserve">    </w:t>
      </w:r>
      <w:r w:rsidRPr="00905E1C">
        <w:rPr>
          <w:rFonts w:eastAsiaTheme="minorHAnsi"/>
        </w:rPr>
        <w:t>Bin ABD $ (GTS)</w:t>
      </w:r>
    </w:p>
    <w:p w14:paraId="23581DE1" w14:textId="491D64D9" w:rsidR="00B2073D" w:rsidRDefault="00B2073D" w:rsidP="007F3DC8">
      <w:pPr>
        <w:pStyle w:val="NormalWeb"/>
        <w:jc w:val="both"/>
      </w:pPr>
    </w:p>
    <w:p w14:paraId="067EFE8F" w14:textId="77777777" w:rsidR="007F3DC8" w:rsidRDefault="007F3DC8" w:rsidP="007F3DC8">
      <w:pPr>
        <w:pStyle w:val="NormalWeb"/>
        <w:jc w:val="both"/>
      </w:pPr>
    </w:p>
    <w:p w14:paraId="50F861CE" w14:textId="77777777" w:rsidR="007F3DC8" w:rsidRPr="007F3DC8" w:rsidRDefault="007F3DC8" w:rsidP="007F3DC8"/>
    <w:sectPr w:rsidR="007F3DC8" w:rsidRPr="007F3D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43BD6" w14:textId="77777777" w:rsidR="004C30AE" w:rsidRDefault="004C30AE">
      <w:r>
        <w:separator/>
      </w:r>
    </w:p>
  </w:endnote>
  <w:endnote w:type="continuationSeparator" w:id="0">
    <w:p w14:paraId="7800A73F" w14:textId="77777777" w:rsidR="004C30AE" w:rsidRDefault="004C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5100511"/>
      <w:docPartObj>
        <w:docPartGallery w:val="Page Numbers (Bottom of Page)"/>
        <w:docPartUnique/>
      </w:docPartObj>
    </w:sdtPr>
    <w:sdtEndPr/>
    <w:sdtContent>
      <w:p w14:paraId="34026860" w14:textId="7FBA6D61" w:rsidR="00AB21E9" w:rsidRDefault="00AB21E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38C">
          <w:rPr>
            <w:noProof/>
          </w:rPr>
          <w:t>2</w:t>
        </w:r>
        <w:r>
          <w:fldChar w:fldCharType="end"/>
        </w:r>
      </w:p>
    </w:sdtContent>
  </w:sdt>
  <w:p w14:paraId="5B6B0503" w14:textId="77777777" w:rsidR="00AB21E9" w:rsidRDefault="00AB21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895D8" w14:textId="77777777" w:rsidR="004C30AE" w:rsidRDefault="004C30AE">
      <w:r>
        <w:separator/>
      </w:r>
    </w:p>
  </w:footnote>
  <w:footnote w:type="continuationSeparator" w:id="0">
    <w:p w14:paraId="3C17CB99" w14:textId="77777777" w:rsidR="004C30AE" w:rsidRDefault="004C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E1D89" w14:textId="77777777" w:rsidR="00AB21E9" w:rsidRDefault="00AB21E9">
    <w:pPr>
      <w:pStyle w:val="En-tte"/>
    </w:pPr>
    <w:r>
      <w:t>T.C. Lüksemburg Büyükelçiliği</w:t>
    </w:r>
    <w:r>
      <w:tab/>
    </w:r>
    <w:r>
      <w:tab/>
    </w:r>
    <w:r w:rsidR="00313CDC">
      <w:t>Ocak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28F"/>
    <w:multiLevelType w:val="hybridMultilevel"/>
    <w:tmpl w:val="599C37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201F6"/>
    <w:multiLevelType w:val="hybridMultilevel"/>
    <w:tmpl w:val="DBD86C6E"/>
    <w:lvl w:ilvl="0" w:tplc="805CA9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EF"/>
    <w:rsid w:val="000A0075"/>
    <w:rsid w:val="001E0169"/>
    <w:rsid w:val="00280598"/>
    <w:rsid w:val="002F4784"/>
    <w:rsid w:val="00313CDC"/>
    <w:rsid w:val="003671CC"/>
    <w:rsid w:val="003C3053"/>
    <w:rsid w:val="00400854"/>
    <w:rsid w:val="0042695D"/>
    <w:rsid w:val="004C30AE"/>
    <w:rsid w:val="005B6D79"/>
    <w:rsid w:val="005C689E"/>
    <w:rsid w:val="005F2EB5"/>
    <w:rsid w:val="006024D5"/>
    <w:rsid w:val="00703239"/>
    <w:rsid w:val="007478EC"/>
    <w:rsid w:val="007F3DC8"/>
    <w:rsid w:val="00824277"/>
    <w:rsid w:val="008E5353"/>
    <w:rsid w:val="00905E1C"/>
    <w:rsid w:val="009133F5"/>
    <w:rsid w:val="00A40944"/>
    <w:rsid w:val="00A631EF"/>
    <w:rsid w:val="00A93701"/>
    <w:rsid w:val="00AB21E9"/>
    <w:rsid w:val="00B06B18"/>
    <w:rsid w:val="00B1638C"/>
    <w:rsid w:val="00B2073D"/>
    <w:rsid w:val="00B8585A"/>
    <w:rsid w:val="00B86564"/>
    <w:rsid w:val="00CB5B5C"/>
    <w:rsid w:val="00D2510F"/>
    <w:rsid w:val="00D918B5"/>
    <w:rsid w:val="00DA261F"/>
    <w:rsid w:val="00E43849"/>
    <w:rsid w:val="00EF793D"/>
    <w:rsid w:val="00FC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2694"/>
  <w15:chartTrackingRefBased/>
  <w15:docId w15:val="{5DA495CD-2CA5-42E7-B59B-F77BAAA6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AB21E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B21E9"/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B21E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B21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21E9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B21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21E9"/>
    <w:rPr>
      <w:rFonts w:ascii="Times New Roman" w:eastAsia="Times New Roman" w:hAnsi="Times New Roman" w:cs="Times New Roman"/>
      <w:sz w:val="24"/>
      <w:szCs w:val="24"/>
    </w:rPr>
  </w:style>
  <w:style w:type="character" w:styleId="Appelnotedebasdep">
    <w:name w:val="footnote reference"/>
    <w:semiHidden/>
    <w:rsid w:val="00AB21E9"/>
    <w:rPr>
      <w:vertAlign w:val="superscript"/>
    </w:rPr>
  </w:style>
  <w:style w:type="table" w:styleId="Grilledutableau">
    <w:name w:val="Table Grid"/>
    <w:basedOn w:val="TableauNormal"/>
    <w:uiPriority w:val="39"/>
    <w:rsid w:val="00905E1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7478EC"/>
    <w:rPr>
      <w:b/>
      <w:bCs/>
    </w:rPr>
  </w:style>
  <w:style w:type="paragraph" w:styleId="NormalWeb">
    <w:name w:val="Normal (Web)"/>
    <w:basedOn w:val="Normal"/>
    <w:uiPriority w:val="99"/>
    <w:unhideWhenUsed/>
    <w:rsid w:val="007478EC"/>
    <w:pPr>
      <w:spacing w:before="100" w:beforeAutospacing="1" w:after="100" w:afterAutospacing="1"/>
    </w:pPr>
    <w:rPr>
      <w:lang w:eastAsia="tr-T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535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53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58C4F-ECC1-4941-A6D3-91E627BF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T.C. DIŞİŞLERİ BAKANLIĞI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Nevzat Arslan</dc:creator>
  <cp:keywords/>
  <dc:description/>
  <cp:lastModifiedBy>Arzu Duran</cp:lastModifiedBy>
  <cp:revision>4</cp:revision>
  <cp:lastPrinted>2022-02-08T09:59:00Z</cp:lastPrinted>
  <dcterms:created xsi:type="dcterms:W3CDTF">2022-02-07T13:18:00Z</dcterms:created>
  <dcterms:modified xsi:type="dcterms:W3CDTF">2022-02-08T15:46:00Z</dcterms:modified>
</cp:coreProperties>
</file>